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color w:val="auto"/>
        </w:rPr>
      </w:pPr>
      <w:bookmarkStart w:id="2" w:name="_GoBack"/>
      <w:bookmarkEnd w:id="2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附件：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投标响应文件</w:t>
      </w:r>
    </w:p>
    <w:p>
      <w:pPr>
        <w:pStyle w:val="2"/>
        <w:rPr>
          <w:rFonts w:hint="eastAsia"/>
        </w:rPr>
      </w:pPr>
    </w:p>
    <w:tbl>
      <w:tblPr>
        <w:tblStyle w:val="4"/>
        <w:tblW w:w="860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5" w:hRule="atLeast"/>
          <w:jc w:val="center"/>
        </w:trPr>
        <w:tc>
          <w:tcPr>
            <w:tcW w:w="8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000000" w:fill="FFFFFF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bookmarkStart w:id="0" w:name="_Toc14668"/>
            <w:bookmarkStart w:id="1" w:name="_Toc68963481"/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致：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u w:val="single"/>
              </w:rPr>
              <w:t>四川省国有资产投资管理有限责任公司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一、我单位已充分了解此次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条件、要求以及评审办法，决定参加此次投标。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二、我单位遵照贵公司要求提出正式申请，提供营业执照（复印件）等相关证明。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三、我单位一旦中标，在签订正式合同文本之前，本标书连同贵公司的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文件应成为约束双方的文件。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六、我单位也完全理解，贵方有权选择任何贵方可能收到的投标方案。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七、我单位向招标人承诺以上条款自签署之日起生效，在投标和为贵公司提供服务期间持续有效。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2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 xml:space="preserve"> 受邀人：（公章）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授权代表签字：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日期：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地址：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授权代表联系电话：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87DA9"/>
    <w:rsid w:val="590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Arial" w:hAnsi="Arial" w:eastAsia="楷体"/>
      <w:b/>
      <w:bCs/>
      <w:kern w:val="0"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2021-09-22T09:08:00Z</dcterms:created>
  <dc:creator>国资公司行政部1号机</dc:creator>
  <cp:lastModifiedBy>国资公司行政部1号机</cp:lastModifiedBy>
  <dcterms:modified xsi:type="dcterms:W3CDTF">2021-09-22T09:08:53Z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