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评审标准</w:t>
      </w:r>
    </w:p>
    <w:tbl>
      <w:tblPr>
        <w:tblStyle w:val="8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81"/>
        <w:gridCol w:w="1449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09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2"/>
                <w:szCs w:val="32"/>
              </w:rPr>
            </w:pPr>
            <w:bookmarkStart w:id="0" w:name="OLE_LINK1"/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评审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评审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因素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32"/>
                <w:szCs w:val="32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61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48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  <w:t>资格评审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比选申请文件签字盖章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按比选文件要求，有法定代表人或其委托代理人签字，并加盖单位章。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营业执照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需具备独立法人资格，在登记管理部门注册登记的有效时间不</w:t>
            </w:r>
            <w:r>
              <w:rPr>
                <w:rFonts w:ascii="仿宋" w:hAnsi="仿宋" w:eastAsia="仿宋" w:cs="Times New Roman"/>
                <w:sz w:val="24"/>
              </w:rPr>
              <w:t>少于1年。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法律服务团队业绩</w:t>
            </w:r>
          </w:p>
        </w:tc>
        <w:tc>
          <w:tcPr>
            <w:tcW w:w="7938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近3年内（含3年）担任过政府、国有企业、上市公司法律顾问的，需提供相应证明文件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；委派律师需至少有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2年以上诉讼实务经历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617" w:type="dxa"/>
            <w:vMerge w:val="continue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近1年无受处分情况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应附比选申请人律师事务所及法律服务团队人员近3年（含3年）内未受到行政处罚或行业处分的承诺书。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61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48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</w:rPr>
              <w:t>详细评审</w:t>
            </w: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服务方案报价（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4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0分）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以各家律所有效报价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高低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为依据进行评分，将各单位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报价</w:t>
            </w:r>
            <w:r>
              <w:rPr>
                <w:rFonts w:ascii="仿宋" w:hAnsi="仿宋" w:eastAsia="仿宋" w:cs="Times New Roman"/>
                <w:sz w:val="24"/>
              </w:rPr>
              <w:t>由</w:t>
            </w:r>
            <w:r>
              <w:rPr>
                <w:rFonts w:hint="eastAsia" w:ascii="仿宋" w:hAnsi="仿宋" w:eastAsia="仿宋" w:cs="Times New Roman"/>
                <w:sz w:val="24"/>
              </w:rPr>
              <w:t>低</w:t>
            </w:r>
            <w:r>
              <w:rPr>
                <w:rFonts w:ascii="仿宋" w:hAnsi="仿宋" w:eastAsia="仿宋" w:cs="Times New Roman"/>
                <w:sz w:val="24"/>
              </w:rPr>
              <w:t>到</w:t>
            </w:r>
            <w:r>
              <w:rPr>
                <w:rFonts w:hint="eastAsia" w:ascii="仿宋" w:hAnsi="仿宋" w:eastAsia="仿宋" w:cs="Times New Roman"/>
                <w:sz w:val="24"/>
              </w:rPr>
              <w:t>高</w:t>
            </w:r>
            <w:r>
              <w:rPr>
                <w:rFonts w:ascii="仿宋" w:hAnsi="仿宋" w:eastAsia="仿宋" w:cs="Times New Roman"/>
                <w:sz w:val="24"/>
              </w:rPr>
              <w:t>排序，排名第一的单位得分为40分，排名第二的单位得分为35分，排名第三的单位得分为30分，依次类推。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服务方案（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30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分）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1.服务方案针对性,符合招选单位服务内容和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相关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要求，根据律所提交服务方案的针对性作出评分。根据案情提供详细的服务方案，包括但不限于以下内容:案件基本情况、法律分析与建议、法律风险提示、诉讼方案等（总分上限为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0分）；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2.服务方案承诺,能够提供专业团队/律师服务质量、现场提供法律服务时效性、工作反馈时间等作出评分（总分上限为</w:t>
            </w:r>
            <w:r>
              <w:rPr>
                <w:rFonts w:hint="eastAsia" w:ascii="仿宋" w:hAnsi="仿宋" w:eastAsia="仿宋" w:cs="Times New Roman"/>
                <w:sz w:val="24"/>
              </w:rPr>
              <w:t>10</w:t>
            </w:r>
            <w:r>
              <w:rPr>
                <w:rFonts w:ascii="仿宋" w:hAnsi="仿宋" w:eastAsia="仿宋" w:cs="Times New Roman"/>
                <w:sz w:val="24"/>
              </w:rPr>
              <w:t>分）；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顾问团队及主要负责人能力评价（20分）</w:t>
            </w:r>
          </w:p>
        </w:tc>
        <w:tc>
          <w:tcPr>
            <w:tcW w:w="793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1.顾问团队主办负责人主要法律工作情况，近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三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年（202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1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年至今）</w:t>
            </w:r>
            <w:r>
              <w:rPr>
                <w:rFonts w:ascii="仿宋" w:hAnsi="仿宋" w:eastAsia="仿宋" w:cs="Times New Roman"/>
                <w:sz w:val="24"/>
              </w:rPr>
              <w:t>主要政府部门、国企业务法律服务、相关类似案例成功诉讼业绩材料。(总分上限为1</w:t>
            </w: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  <w:r>
              <w:rPr>
                <w:rFonts w:ascii="仿宋" w:hAnsi="仿宋" w:eastAsia="仿宋" w:cs="Times New Roman"/>
                <w:sz w:val="24"/>
              </w:rPr>
              <w:t>分)；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2.</w:t>
            </w:r>
            <w:r>
              <w:rPr>
                <w:rFonts w:ascii="仿宋" w:hAnsi="仿宋" w:eastAsia="仿宋" w:cs="Times New Roman"/>
                <w:sz w:val="24"/>
              </w:rPr>
              <w:t>顾问团队成员有一定的对政府部门、国企业务法律事务服务的经验，根据拟派服务团队人员服务经验、专业能力作出评分。(总分上限为</w:t>
            </w: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  <w:r>
              <w:rPr>
                <w:rFonts w:ascii="仿宋" w:hAnsi="仿宋" w:eastAsia="仿宋" w:cs="Times New Roman"/>
                <w:sz w:val="24"/>
              </w:rPr>
              <w:t>分)。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机构</w:t>
            </w:r>
            <w:r>
              <w:rPr>
                <w:rFonts w:ascii="仿宋" w:hAnsi="仿宋" w:eastAsia="仿宋" w:cs="Times New Roman"/>
                <w:sz w:val="24"/>
              </w:rPr>
              <w:t>资质、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资信评价（5分）</w:t>
            </w:r>
          </w:p>
        </w:tc>
        <w:tc>
          <w:tcPr>
            <w:tcW w:w="7938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提供律所建设情况，办公场所、取得资质证照材料</w:t>
            </w:r>
            <w:r>
              <w:rPr>
                <w:rFonts w:hint="eastAsia" w:ascii="仿宋" w:hAnsi="仿宋" w:eastAsia="仿宋" w:cs="Times New Roman"/>
                <w:sz w:val="24"/>
              </w:rPr>
              <w:t>，</w:t>
            </w:r>
            <w:r>
              <w:rPr>
                <w:rFonts w:ascii="仿宋" w:hAnsi="仿宋" w:eastAsia="仿宋" w:cs="Times New Roman"/>
                <w:sz w:val="24"/>
              </w:rPr>
              <w:t>有固定办公场所得</w:t>
            </w: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  <w:r>
              <w:rPr>
                <w:rFonts w:ascii="仿宋" w:hAnsi="仿宋" w:eastAsia="仿宋" w:cs="Times New Roman"/>
                <w:sz w:val="24"/>
              </w:rPr>
              <w:t>分，荣获相关资质、荣誉每1项多得1分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（总分上限为5分）</w:t>
            </w:r>
            <w:r>
              <w:rPr>
                <w:rFonts w:ascii="仿宋" w:hAnsi="仿宋" w:eastAsia="仿宋" w:cs="Times New Roman"/>
                <w:sz w:val="24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1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48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机构、业绩、荣誉等评价（</w:t>
            </w:r>
            <w:r>
              <w:rPr>
                <w:rFonts w:hint="eastAsia" w:ascii="仿宋" w:hAnsi="仿宋" w:eastAsia="仿宋" w:cs="Times New Roman"/>
                <w:sz w:val="24"/>
              </w:rPr>
              <w:t>5</w:t>
            </w:r>
            <w:r>
              <w:rPr>
                <w:rFonts w:ascii="仿宋" w:hAnsi="仿宋" w:eastAsia="仿宋" w:cs="Times New Roman"/>
                <w:sz w:val="24"/>
              </w:rPr>
              <w:t>分）</w:t>
            </w:r>
          </w:p>
        </w:tc>
        <w:tc>
          <w:tcPr>
            <w:tcW w:w="7938" w:type="dxa"/>
            <w:vAlign w:val="center"/>
          </w:tcPr>
          <w:p>
            <w:pPr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提供律所近</w:t>
            </w:r>
            <w:r>
              <w:rPr>
                <w:rFonts w:hint="eastAsia" w:ascii="仿宋" w:hAnsi="仿宋" w:eastAsia="仿宋" w:cs="Times New Roman"/>
                <w:sz w:val="24"/>
              </w:rPr>
              <w:t>三</w:t>
            </w:r>
            <w:r>
              <w:rPr>
                <w:rFonts w:ascii="仿宋" w:hAnsi="仿宋" w:eastAsia="仿宋" w:cs="Times New Roman"/>
                <w:sz w:val="24"/>
              </w:rPr>
              <w:t>年（202</w:t>
            </w: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  <w:r>
              <w:rPr>
                <w:rFonts w:ascii="仿宋" w:hAnsi="仿宋" w:eastAsia="仿宋" w:cs="Times New Roman"/>
                <w:sz w:val="24"/>
              </w:rPr>
              <w:t>年至今）</w:t>
            </w:r>
            <w:r>
              <w:rPr>
                <w:rFonts w:hint="eastAsia" w:ascii="仿宋" w:hAnsi="仿宋" w:eastAsia="仿宋" w:cs="Times New Roman"/>
                <w:sz w:val="24"/>
              </w:rPr>
              <w:t>类似</w:t>
            </w:r>
            <w:r>
              <w:rPr>
                <w:rFonts w:ascii="仿宋" w:hAnsi="仿宋" w:eastAsia="仿宋" w:cs="Times New Roman"/>
                <w:sz w:val="24"/>
              </w:rPr>
              <w:t>案例的成功诉讼材料，满</w:t>
            </w: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  <w:r>
              <w:rPr>
                <w:rFonts w:ascii="仿宋" w:hAnsi="仿宋" w:eastAsia="仿宋" w:cs="Times New Roman"/>
                <w:sz w:val="24"/>
              </w:rPr>
              <w:t>项得</w:t>
            </w: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  <w:r>
              <w:rPr>
                <w:rFonts w:ascii="仿宋" w:hAnsi="仿宋" w:eastAsia="仿宋" w:cs="Times New Roman"/>
                <w:sz w:val="24"/>
              </w:rPr>
              <w:t>分，每多提供1项证明材料则得1分</w:t>
            </w:r>
            <w:r>
              <w:rPr>
                <w:rFonts w:ascii="仿宋" w:hAnsi="仿宋" w:eastAsia="仿宋" w:cs="Times New Roman"/>
                <w:b/>
                <w:bCs/>
                <w:sz w:val="24"/>
              </w:rPr>
              <w:t>（总分上限为5分）</w:t>
            </w:r>
            <w:r>
              <w:rPr>
                <w:rFonts w:ascii="仿宋" w:hAnsi="仿宋" w:eastAsia="仿宋" w:cs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048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得分确认: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比选评审小组成员分别独立打分并计算各比选申请人得分，并署名确认。按照得分计算出的平均值，作为比选申请人的最终得分。</w:t>
            </w:r>
          </w:p>
        </w:tc>
      </w:tr>
      <w:bookmarkEnd w:id="0"/>
    </w:tbl>
    <w:p>
      <w:pPr>
        <w:pStyle w:val="2"/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NjYThhMTc2OTAwMzM0Yzg0YmViOGMwYmVjYjVjNzQifQ=="/>
  </w:docVars>
  <w:rsids>
    <w:rsidRoot w:val="00707892"/>
    <w:rsid w:val="00033001"/>
    <w:rsid w:val="00074128"/>
    <w:rsid w:val="000A02A9"/>
    <w:rsid w:val="0010675F"/>
    <w:rsid w:val="001D4BA1"/>
    <w:rsid w:val="00433EE7"/>
    <w:rsid w:val="00621C90"/>
    <w:rsid w:val="00684AF8"/>
    <w:rsid w:val="006D242B"/>
    <w:rsid w:val="00707892"/>
    <w:rsid w:val="0072176F"/>
    <w:rsid w:val="00853856"/>
    <w:rsid w:val="0085613E"/>
    <w:rsid w:val="00895AFB"/>
    <w:rsid w:val="008F1FFB"/>
    <w:rsid w:val="009400FE"/>
    <w:rsid w:val="009507B0"/>
    <w:rsid w:val="00B053A3"/>
    <w:rsid w:val="00BA2E98"/>
    <w:rsid w:val="00C54692"/>
    <w:rsid w:val="00C71D68"/>
    <w:rsid w:val="00CE01C0"/>
    <w:rsid w:val="00D44BD6"/>
    <w:rsid w:val="00D9162C"/>
    <w:rsid w:val="00E215FE"/>
    <w:rsid w:val="00F52A24"/>
    <w:rsid w:val="00FF4513"/>
    <w:rsid w:val="00FF477E"/>
    <w:rsid w:val="01345650"/>
    <w:rsid w:val="01353D93"/>
    <w:rsid w:val="02D6771A"/>
    <w:rsid w:val="032508A2"/>
    <w:rsid w:val="035B274D"/>
    <w:rsid w:val="05710DCB"/>
    <w:rsid w:val="05CE086B"/>
    <w:rsid w:val="086B45B1"/>
    <w:rsid w:val="08900568"/>
    <w:rsid w:val="08AC1086"/>
    <w:rsid w:val="0A8B054A"/>
    <w:rsid w:val="0CBC00BF"/>
    <w:rsid w:val="0CCB0170"/>
    <w:rsid w:val="0D0F4D7B"/>
    <w:rsid w:val="0DB93AA9"/>
    <w:rsid w:val="0E295A4D"/>
    <w:rsid w:val="0E5D62AD"/>
    <w:rsid w:val="127B10D0"/>
    <w:rsid w:val="136C053B"/>
    <w:rsid w:val="140E5EAB"/>
    <w:rsid w:val="15355B87"/>
    <w:rsid w:val="164E256A"/>
    <w:rsid w:val="16DF7FEC"/>
    <w:rsid w:val="18CE7BFB"/>
    <w:rsid w:val="191A4D4A"/>
    <w:rsid w:val="19B52464"/>
    <w:rsid w:val="1A300397"/>
    <w:rsid w:val="1AA47067"/>
    <w:rsid w:val="1AD27C02"/>
    <w:rsid w:val="1AFA48D9"/>
    <w:rsid w:val="1BAE326D"/>
    <w:rsid w:val="1DBD337C"/>
    <w:rsid w:val="1DF44326"/>
    <w:rsid w:val="1ED02BDE"/>
    <w:rsid w:val="23ED046C"/>
    <w:rsid w:val="24CB17B8"/>
    <w:rsid w:val="27BF5382"/>
    <w:rsid w:val="28133A12"/>
    <w:rsid w:val="28170FEA"/>
    <w:rsid w:val="2B706195"/>
    <w:rsid w:val="2BC55A8B"/>
    <w:rsid w:val="2E71778E"/>
    <w:rsid w:val="3016640F"/>
    <w:rsid w:val="31667929"/>
    <w:rsid w:val="339E5981"/>
    <w:rsid w:val="34A86FBE"/>
    <w:rsid w:val="352F110B"/>
    <w:rsid w:val="36DF11C0"/>
    <w:rsid w:val="36FF4A33"/>
    <w:rsid w:val="373B4C37"/>
    <w:rsid w:val="37624B69"/>
    <w:rsid w:val="382809DB"/>
    <w:rsid w:val="387A2332"/>
    <w:rsid w:val="38FA74C6"/>
    <w:rsid w:val="3A2F3A11"/>
    <w:rsid w:val="3A8F09B7"/>
    <w:rsid w:val="3AC23252"/>
    <w:rsid w:val="3EBA227A"/>
    <w:rsid w:val="41391DE8"/>
    <w:rsid w:val="42F10A3C"/>
    <w:rsid w:val="44386AC0"/>
    <w:rsid w:val="44CD12FA"/>
    <w:rsid w:val="46414E9E"/>
    <w:rsid w:val="483723B1"/>
    <w:rsid w:val="484955CD"/>
    <w:rsid w:val="48B3189C"/>
    <w:rsid w:val="497F0F85"/>
    <w:rsid w:val="4A2D32EC"/>
    <w:rsid w:val="4D095749"/>
    <w:rsid w:val="4D784115"/>
    <w:rsid w:val="4EC60CFB"/>
    <w:rsid w:val="504A1DEF"/>
    <w:rsid w:val="52364B38"/>
    <w:rsid w:val="53B8726E"/>
    <w:rsid w:val="552C3F98"/>
    <w:rsid w:val="562E218A"/>
    <w:rsid w:val="57630448"/>
    <w:rsid w:val="596C75A4"/>
    <w:rsid w:val="5A285025"/>
    <w:rsid w:val="5B90204C"/>
    <w:rsid w:val="5BAF2E7D"/>
    <w:rsid w:val="5C4C35C1"/>
    <w:rsid w:val="5E244B91"/>
    <w:rsid w:val="5E5C18F4"/>
    <w:rsid w:val="5FBF7BE8"/>
    <w:rsid w:val="60E97CE7"/>
    <w:rsid w:val="618E5B93"/>
    <w:rsid w:val="61F4754A"/>
    <w:rsid w:val="621A7432"/>
    <w:rsid w:val="62740D86"/>
    <w:rsid w:val="64F34560"/>
    <w:rsid w:val="66E73965"/>
    <w:rsid w:val="670D36CD"/>
    <w:rsid w:val="676423D0"/>
    <w:rsid w:val="6A214AE6"/>
    <w:rsid w:val="6BC63A54"/>
    <w:rsid w:val="6DC42971"/>
    <w:rsid w:val="6E417F34"/>
    <w:rsid w:val="6EE93035"/>
    <w:rsid w:val="70C742AF"/>
    <w:rsid w:val="712B43C3"/>
    <w:rsid w:val="751E5B49"/>
    <w:rsid w:val="75D51E50"/>
    <w:rsid w:val="76BA169D"/>
    <w:rsid w:val="77BF2CCC"/>
    <w:rsid w:val="789B7837"/>
    <w:rsid w:val="79C826A8"/>
    <w:rsid w:val="7AC92C5C"/>
    <w:rsid w:val="7D645FB8"/>
    <w:rsid w:val="7E41685A"/>
    <w:rsid w:val="7E6F43ED"/>
    <w:rsid w:val="7F8D47D7"/>
    <w:rsid w:val="FBF988D6"/>
    <w:rsid w:val="FFBFF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14</Pages>
  <Words>844</Words>
  <Characters>4814</Characters>
  <Lines>40</Lines>
  <Paragraphs>11</Paragraphs>
  <TotalTime>21</TotalTime>
  <ScaleCrop>false</ScaleCrop>
  <LinksUpToDate>false</LinksUpToDate>
  <CharactersWithSpaces>5647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2022-10-11T10:07:00Z</dcterms:created>
  <dc:creator>唐华</dc:creator>
  <cp:lastModifiedBy>李沛东</cp:lastModifiedBy>
  <dcterms:modified xsi:type="dcterms:W3CDTF">2023-06-08T01:23:41Z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BDD22D326C2F44C8A343133CC21AF0E0</vt:lpwstr>
  </property>
</Properties>
</file>